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5761355" cy="73152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 w:val="false"/>
          <w:iCs w:val="false"/>
          <w:sz w:val="20"/>
          <w:szCs w:val="20"/>
        </w:rPr>
        <w:tab/>
        <w:tab/>
        <w:tab/>
        <w:tab/>
        <w:tab/>
        <w:tab/>
        <w:t xml:space="preserve">        </w:t>
      </w:r>
    </w:p>
    <w:p>
      <w:pPr>
        <w:pStyle w:val="Normal"/>
        <w:bidi w:val="0"/>
        <w:jc w:val="right"/>
        <w:rPr>
          <w:sz w:val="20"/>
          <w:szCs w:val="20"/>
        </w:rPr>
      </w:pPr>
      <w:r>
        <w:rPr>
          <w:rFonts w:ascii="Liberation Serif" w:hAnsi="Liberation Serif"/>
          <w:i/>
          <w:iCs/>
          <w:sz w:val="20"/>
          <w:szCs w:val="20"/>
        </w:rPr>
        <w:t>Załącznik nr 2 do zapytania ofertowego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UWZGLĘDNIAJĄCE PRZESŁANKI WYKLUCZENIA Z ART. 7 UST. 1 USTAWY                                        </w:t>
      </w:r>
      <w:r>
        <w:rPr>
          <w:rFonts w:cs="Arial" w:ascii="Arial" w:hAnsi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potrzeby postępowania o udzielenie zamówienia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na organizację i przeprowadzenie nauki języka polskiego w wymiarze 121 godzin lekcyjnych dla osób legalnie przebywających w Polsce w wyniku ucieczki przed wojną po 24.02.2022 r.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pl-PL" w:eastAsia="hi-IN" w:bidi="ar-SA"/>
        </w:rPr>
        <w:t>i zamieszkujących teren Powiatu Kołobrzeskiego.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Zamówienie będzie realizowane w ramach projektu „NIE JEST NAM WSZYSTKO JEDNO”, realizowanego w ramach Regionalnego Programu Operacyjnego Województwa Zachodniopomorskiego 2014-2020, Oś priorytetowa VII Włączenie społeczne, Działanie: 7.6 Wsparcie rozwoju usług społecznych świadczonych w interesie ogólnym.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DOTYCZĄCE PODSTAW WYKLUCZENIA:</w:t>
      </w:r>
    </w:p>
    <w:p>
      <w:pPr>
        <w:pStyle w:val="NormalWeb"/>
        <w:spacing w:lineRule="auto" w:line="360" w:before="0" w:after="0"/>
        <w:ind w:left="71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widowControl/>
        <w:tabs>
          <w:tab w:val="clear" w:pos="709"/>
          <w:tab w:val="left" w:pos="735" w:leader="none"/>
        </w:tabs>
        <w:bidi w:val="0"/>
        <w:spacing w:lineRule="auto" w:line="360" w:before="0" w:after="0"/>
        <w:ind w:left="57" w:right="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nie zachodzą w stosunku do mnie przesłanki wykluczenia                                                  z postępowania na podstawie art.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7 ust. 1 ustawy </w:t>
      </w:r>
      <w:r>
        <w:rPr>
          <w:rFonts w:cs="Arial" w:ascii="Arial" w:hAnsi="Arial"/>
          <w:sz w:val="20"/>
          <w:szCs w:val="20"/>
        </w:rPr>
        <w:t xml:space="preserve">z dnia 13 kwietnia 2022 r.                                    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(Dz. U. poz. 835)</w:t>
      </w:r>
      <w:r>
        <w:rPr>
          <w:rStyle w:val="Zakotwiczenieprzypisudolnego"/>
          <w:rFonts w:cs="Arial" w:ascii="Arial" w:hAnsi="Arial"/>
          <w:i/>
          <w:iCs/>
          <w:color w:val="222222"/>
          <w:sz w:val="20"/>
          <w:szCs w:val="20"/>
        </w:rPr>
        <w:footnoteReference w:id="2"/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        </w:t>
      </w:r>
      <w:r>
        <w:rPr>
          <w:rFonts w:cs="Arial" w:ascii="Arial" w:hAnsi="Arial"/>
          <w:i/>
          <w:iCs/>
          <w:sz w:val="20"/>
          <w:szCs w:val="20"/>
        </w:rPr>
        <w:t xml:space="preserve">                           /Data/Podpis Wykonawcy/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568" w:footer="993" w:bottom="191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9" w:before="0" w:after="160"/>
      <w:jc w:val="center"/>
      <w:rPr/>
    </w:pPr>
    <w:r>
      <w:rPr>
        <w:rFonts w:eastAsia="Verdana" w:cs="Verdana" w:ascii="Verdana" w:hAnsi="Verdana"/>
        <w:sz w:val="12"/>
        <w:szCs w:val="16"/>
      </w:rPr>
      <w:t>Projekt Nr RPZP.07.06.00-32-P004/22 pn. „ Nie jest nam wszystko jedno” realizowany w ramach Regionalnego Programu Operacyjnego Województwa Zachodniopomorskiego 2014-2020, Oś  priorytetowa VII Włączenie społeczne, Działanie 7.6 Wsparcie rozwoju usług społecznych świadczonych w interesie ogólnym, współfinansowanego ze środków Europejskiego Funduszu Społecznego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                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        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o przeciwdziałaniu praniu pieniędzy oraz finansowaniu terroryzmu (Dz. U. z 2022 r. poz. 593 i 655) jest osoba wymieniona    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character" w:styleId="WW8Num1z0">
    <w:name w:val="WW8Num1z0"/>
    <w:qFormat/>
    <w:rPr>
      <w:b w:val="false"/>
      <w:color w:val="000000"/>
      <w:sz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rong">
    <w:name w:val="Strong"/>
    <w:qFormat/>
    <w:rPr>
      <w:rFonts w:eastAsia="Times New Roman"/>
      <w:bCs/>
    </w:rPr>
  </w:style>
  <w:style w:type="character" w:styleId="TekstdymkaZnak1">
    <w:name w:val="Tekst dymka Znak1"/>
    <w:qFormat/>
    <w:rPr>
      <w:rFonts w:ascii="Tahoma" w:hAnsi="Tahoma" w:eastAsia="Tahoma"/>
      <w:color w:val="00000A"/>
      <w:sz w:val="16"/>
      <w:szCs w:val="16"/>
      <w:shd w:fill="FFFFFF" w:val="clear"/>
      <w:lang w:eastAsia="fa-IR"/>
    </w:rPr>
  </w:style>
  <w:style w:type="character" w:styleId="TematkomentarzaZnak1">
    <w:name w:val="Temat komentarza Znak1"/>
    <w:qFormat/>
    <w:rPr>
      <w:rFonts w:eastAsia="Tahoma"/>
      <w:bCs/>
      <w:color w:val="00000A"/>
      <w:shd w:fill="FFFFFF" w:val="clear"/>
      <w:lang w:eastAsia="fa-IR"/>
    </w:rPr>
  </w:style>
  <w:style w:type="character" w:styleId="TekstkomentarzaZnak1">
    <w:name w:val="Tekst komentarza Znak1"/>
    <w:qFormat/>
    <w:rPr>
      <w:rFonts w:eastAsia="Tahoma"/>
      <w:color w:val="00000A"/>
      <w:shd w:fill="FFFFFF" w:val="clear"/>
      <w:lang w:eastAsia="fa-IR"/>
    </w:rPr>
  </w:style>
  <w:style w:type="character" w:styleId="Odwoaniedokomentarza">
    <w:name w:val="Odwołanie do komentarza"/>
    <w:qFormat/>
    <w:rPr>
      <w:sz w:val="16"/>
    </w:rPr>
  </w:style>
  <w:style w:type="character" w:styleId="AkapitzlistZnak">
    <w:name w:val="Akapit z listą Znak"/>
    <w:qFormat/>
    <w:rPr>
      <w:rFonts w:ascii="Times New Roman" w:hAnsi="Times New Roman" w:eastAsia="Times New Roman"/>
      <w:color w:val="00000A"/>
      <w:sz w:val="24"/>
      <w:szCs w:val="24"/>
      <w:shd w:fill="FFFFFF" w:val="clear"/>
      <w:lang w:eastAsia="fa-IR"/>
    </w:rPr>
  </w:style>
  <w:style w:type="character" w:styleId="Nagwek1Znak">
    <w:name w:val="Nagłówek 1 Znak"/>
    <w:qFormat/>
    <w:rPr>
      <w:rFonts w:ascii="Cambria" w:hAnsi="Cambria" w:eastAsia="Cambria"/>
      <w:b/>
      <w:bCs/>
      <w:color w:val="365F91"/>
      <w:sz w:val="28"/>
      <w:szCs w:val="28"/>
      <w:shd w:fill="FFFFFF" w:val="clear"/>
      <w:lang w:eastAsia="fa-IR"/>
    </w:rPr>
  </w:style>
  <w:style w:type="character" w:styleId="Bodytext2">
    <w:name w:val="Body text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/>
    </w:rPr>
  </w:style>
  <w:style w:type="character" w:styleId="TekstpodstawowyZnak">
    <w:name w:val="Tekst podstawowy Znak"/>
    <w:qFormat/>
    <w:rPr/>
  </w:style>
  <w:style w:type="character" w:styleId="Nagwek6Znak">
    <w:name w:val="Nagłówek 6 Znak"/>
    <w:qFormat/>
    <w:rPr>
      <w:rFonts w:ascii="Times New Roman" w:hAnsi="Times New Roman" w:eastAsia="Times New Roman"/>
      <w:b/>
      <w:bCs/>
      <w:sz w:val="20"/>
      <w:szCs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Domylnaczcionkaakapitu">
    <w:name w:val="Domyślna czcionka akapitu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eastAsia="Times New Roman"/>
      <w:b/>
      <w:bCs/>
      <w:sz w:val="18"/>
      <w:szCs w:val="18"/>
      <w:lang w:val="pl-PL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6z0">
    <w:name w:val="WW8Num6z0"/>
    <w:qFormat/>
    <w:rPr>
      <w:rFonts w:ascii="Times New Roman" w:hAnsi="Times New Roman" w:eastAsia="Times New Roman"/>
      <w:color w:val="00000A"/>
      <w:sz w:val="18"/>
      <w:szCs w:val="18"/>
      <w:lang w:val="pl-PL" w:eastAsia="fa-IR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2z0">
    <w:name w:val="WW8Num2z0"/>
    <w:qFormat/>
    <w:rPr>
      <w:rFonts w:ascii="Times New Roman" w:hAnsi="Times New Roman" w:eastAsia="Times New Roman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4"/>
      <w:szCs w:val="24"/>
      <w:lang w:val="pl-PL" w:eastAsia="hi-IN" w:bidi="ar-SA"/>
    </w:rPr>
  </w:style>
  <w:style w:type="paragraph" w:styleId="Tekstdymka">
    <w:name w:val="Tekst dymka"/>
    <w:basedOn w:val="Normal"/>
    <w:qFormat/>
    <w:pPr>
      <w:shd w:fill="FFFFFF"/>
    </w:pPr>
    <w:rPr>
      <w:rFonts w:ascii="Tahoma" w:hAnsi="Tahoma" w:eastAsia="Tahoma"/>
      <w:sz w:val="16"/>
      <w:szCs w:val="16"/>
      <w:lang w:eastAsia="hi-IN"/>
    </w:rPr>
  </w:style>
  <w:style w:type="paragraph" w:styleId="Tematkomentarza">
    <w:name w:val="Temat komentarza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pl-PL" w:eastAsia="hi-IN" w:bidi="ar-SA"/>
    </w:rPr>
  </w:style>
  <w:style w:type="paragraph" w:styleId="Tekstkomentarza">
    <w:name w:val="Tekst komentarza"/>
    <w:basedOn w:val="Normal"/>
    <w:qFormat/>
    <w:pPr>
      <w:shd w:fill="FFFFFF"/>
    </w:pPr>
    <w:rPr>
      <w:sz w:val="20"/>
    </w:rPr>
  </w:style>
  <w:style w:type="paragraph" w:styleId="Tekstpodstawowy32">
    <w:name w:val="Tekst podstawowy 32"/>
    <w:basedOn w:val="Normal"/>
    <w:qFormat/>
    <w:pPr>
      <w:shd w:fill="FFFFFF"/>
      <w:spacing w:before="0" w:after="120"/>
    </w:pPr>
    <w:rPr>
      <w:sz w:val="16"/>
    </w:rPr>
  </w:style>
  <w:style w:type="paragraph" w:styleId="Tekstpodstawowywcity31">
    <w:name w:val="Tekst podstawowy wcięty 31"/>
    <w:basedOn w:val="Normal"/>
    <w:qFormat/>
    <w:pPr>
      <w:shd w:fill="FFFFFF"/>
      <w:ind w:left="4956" w:hanging="0"/>
      <w:jc w:val="center"/>
    </w:pPr>
    <w:rPr>
      <w:lang w:val="de-DE"/>
    </w:rPr>
  </w:style>
  <w:style w:type="paragraph" w:styleId="BodyText21">
    <w:name w:val="Body Text 21"/>
    <w:basedOn w:val="Normal"/>
    <w:qFormat/>
    <w:pPr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/>
      <w:lang w:eastAsia="hi-IN"/>
    </w:rPr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  <w:textAlignment w:val="auto"/>
    </w:pPr>
    <w:rPr>
      <w:rFonts w:eastAsia="Times New Roman"/>
      <w:lang w:eastAsia="hi-IN"/>
    </w:rPr>
  </w:style>
  <w:style w:type="paragraph" w:styleId="Legenda">
    <w:name w:val="Legenda"/>
    <w:basedOn w:val="Normal"/>
    <w:qFormat/>
    <w:pPr>
      <w:shd w:fill="FFFFFF"/>
      <w:spacing w:before="120" w:after="120"/>
    </w:pPr>
    <w:rPr>
      <w:rFonts w:eastAsia="Arial"/>
      <w:i/>
      <w:iCs/>
      <w:lang w:eastAsia="hi-IN"/>
    </w:rPr>
  </w:style>
  <w:style w:type="paragraph" w:styleId="Nagwek1">
    <w:name w:val="Nagłówek1"/>
    <w:basedOn w:val="Normal"/>
    <w:qFormat/>
    <w:pPr>
      <w:shd w:fill="FFFFFF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0000"/>
      <w:kern w:val="2"/>
      <w:sz w:val="24"/>
      <w:szCs w:val="24"/>
      <w:lang w:val="pl-PL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6687-6DD2-463E-9314-E3A2E64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1</Pages>
  <Words>466</Words>
  <Characters>2912</Characters>
  <CharactersWithSpaces>3648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2022-09-20T12:34:41Z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